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20" w:rsidRPr="00E23020" w:rsidRDefault="00E23020" w:rsidP="00E230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E23020">
        <w:rPr>
          <w:rFonts w:ascii="Times New Roman" w:hAnsi="Times New Roman" w:cs="Times New Roman"/>
          <w:b/>
          <w:sz w:val="24"/>
          <w:szCs w:val="24"/>
          <w:lang w:val="en-GB" w:eastAsia="hu-HU"/>
        </w:rPr>
        <w:t>Latin Language for Students of Dentistry</w:t>
      </w:r>
    </w:p>
    <w:p w:rsidR="00E23020" w:rsidRDefault="00E23020" w:rsidP="00E230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 w:eastAsia="hu-HU"/>
        </w:rPr>
      </w:pPr>
      <w:r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S</w:t>
      </w:r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yllabus</w:t>
      </w:r>
    </w:p>
    <w:p w:rsidR="00E23020" w:rsidRPr="00E23020" w:rsidRDefault="00E23020" w:rsidP="00E2302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Week</w:t>
            </w:r>
            <w:r w:rsidRPr="00E23020">
              <w:rPr>
                <w:rFonts w:ascii="Times New Roman" w:eastAsia="Times New Roman" w:hAnsi="Times New Roman" w:cs="Times New Roman"/>
                <w:b/>
                <w:bCs/>
                <w:color w:val="1D2125"/>
                <w:sz w:val="24"/>
                <w:szCs w:val="24"/>
                <w:lang w:val="en-GB" w:eastAsia="hu-HU"/>
              </w:rPr>
              <w:t> </w:t>
            </w: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Topics covered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Class introduction </w:t>
            </w:r>
            <w:r w:rsidRPr="00E23020">
              <w:rPr>
                <w:rFonts w:ascii="Times New Roman" w:eastAsia="Times New Roman" w:hAnsi="Times New Roman" w:cs="Times New Roman"/>
                <w:i/>
                <w:iCs/>
                <w:color w:val="1D2125"/>
                <w:sz w:val="24"/>
                <w:szCs w:val="24"/>
                <w:lang w:val="en-GB" w:eastAsia="hu-HU"/>
              </w:rPr>
              <w:t>and</w:t>
            </w: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 Chapter 1 Introduction to medical terminology and basic Latin grammar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Chapter 2: Anatomical positions, planes and directions, Adjective endings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Chapter 3: Parts of the body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Declensions,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proofErr w:type="spellStart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Chapter</w:t>
            </w:r>
            <w:proofErr w:type="spellEnd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 xml:space="preserve"> 4: The </w:t>
            </w:r>
            <w:proofErr w:type="spellStart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mouth</w:t>
            </w:r>
            <w:proofErr w:type="spellEnd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the</w:t>
            </w:r>
            <w:proofErr w:type="spellEnd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teeth</w:t>
            </w:r>
            <w:proofErr w:type="spellEnd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;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</w:pPr>
            <w:proofErr w:type="spellStart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Chapter</w:t>
            </w:r>
            <w:proofErr w:type="spellEnd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 xml:space="preserve"> 5; </w:t>
            </w:r>
            <w:proofErr w:type="spellStart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Regions</w:t>
            </w:r>
            <w:proofErr w:type="spellEnd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 xml:space="preserve">; </w:t>
            </w:r>
            <w:proofErr w:type="spellStart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Formation</w:t>
            </w:r>
            <w:proofErr w:type="spellEnd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adjectives</w:t>
            </w:r>
            <w:proofErr w:type="spellEnd"/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  <w:t>;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Revision </w:t>
            </w:r>
            <w:r w:rsidRPr="00E23020">
              <w:rPr>
                <w:rFonts w:ascii="Times New Roman" w:eastAsia="Times New Roman" w:hAnsi="Times New Roman" w:cs="Times New Roman"/>
                <w:b/>
                <w:bCs/>
                <w:color w:val="1D2125"/>
                <w:sz w:val="24"/>
                <w:szCs w:val="24"/>
                <w:lang w:val="en-GB" w:eastAsia="hu-HU"/>
              </w:rPr>
              <w:t>Mid-term Test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Chapter 6: The skeletal system 1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The skeletal system (2); Plural forms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Chapter 7: Joints; complex adjectives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Chapter 8: The muscular system; Plural genitive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Chapter 9: Greek roots; Latin and Greek prefixes related to quantities; Latin numerals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Revision 2 </w:t>
            </w:r>
            <w:r w:rsidRPr="00E23020">
              <w:rPr>
                <w:rFonts w:ascii="Times New Roman" w:eastAsia="Times New Roman" w:hAnsi="Times New Roman" w:cs="Times New Roman"/>
                <w:b/>
                <w:bCs/>
                <w:color w:val="1D2125"/>
                <w:sz w:val="24"/>
                <w:szCs w:val="24"/>
                <w:lang w:val="en-GB" w:eastAsia="hu-HU"/>
              </w:rPr>
              <w:t>End-term Test</w:t>
            </w:r>
          </w:p>
        </w:tc>
      </w:tr>
      <w:tr w:rsidR="00E23020" w:rsidRPr="00E23020" w:rsidTr="00E23020">
        <w:tc>
          <w:tcPr>
            <w:tcW w:w="1129" w:type="dxa"/>
          </w:tcPr>
          <w:p w:rsidR="00E23020" w:rsidRPr="00E23020" w:rsidRDefault="00E23020" w:rsidP="00E23020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45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</w:p>
        </w:tc>
        <w:tc>
          <w:tcPr>
            <w:tcW w:w="7933" w:type="dxa"/>
          </w:tcPr>
          <w:p w:rsidR="00E23020" w:rsidRPr="00E23020" w:rsidRDefault="00E23020" w:rsidP="00E23020">
            <w:pPr>
              <w:spacing w:line="360" w:lineRule="auto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</w:pPr>
            <w:r w:rsidRPr="00E23020"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  <w:lang w:val="en-GB" w:eastAsia="hu-HU"/>
              </w:rPr>
              <w:t>Evaluation</w:t>
            </w:r>
          </w:p>
        </w:tc>
      </w:tr>
    </w:tbl>
    <w:p w:rsidR="00E23020" w:rsidRPr="00E23020" w:rsidRDefault="00E23020" w:rsidP="00E23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</w:pPr>
    </w:p>
    <w:p w:rsidR="00E23020" w:rsidRPr="00E23020" w:rsidRDefault="00E23020" w:rsidP="00E23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Textbook: Latin for Students of Dentistry</w:t>
      </w:r>
      <w:r w:rsidRPr="00E23020">
        <w:rPr>
          <w:rFonts w:ascii="Times New Roman" w:eastAsia="Times New Roman" w:hAnsi="Times New Roman" w:cs="Times New Roman"/>
          <w:b/>
          <w:bCs/>
          <w:i/>
          <w:iCs/>
          <w:color w:val="1D2125"/>
          <w:sz w:val="24"/>
          <w:szCs w:val="24"/>
          <w:lang w:val="en-GB" w:eastAsia="hu-HU"/>
        </w:rPr>
        <w:t>, </w:t>
      </w:r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 xml:space="preserve">by </w:t>
      </w:r>
      <w:proofErr w:type="spellStart"/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László</w:t>
      </w:r>
      <w:proofErr w:type="spellEnd"/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 xml:space="preserve"> </w:t>
      </w:r>
      <w:proofErr w:type="spellStart"/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Répás</w:t>
      </w:r>
      <w:proofErr w:type="spellEnd"/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,</w:t>
      </w:r>
      <w:bookmarkStart w:id="0" w:name="_GoBack"/>
      <w:bookmarkEnd w:id="0"/>
    </w:p>
    <w:p w:rsidR="00E23020" w:rsidRPr="00E23020" w:rsidRDefault="00E23020" w:rsidP="00E23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Websites:</w:t>
      </w:r>
      <w:r w:rsidR="00F351CE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 xml:space="preserve"> </w:t>
      </w:r>
      <w:hyperlink r:id="rId5" w:history="1">
        <w:r w:rsidRPr="00E23020">
          <w:rPr>
            <w:rFonts w:ascii="Times New Roman" w:eastAsia="Times New Roman" w:hAnsi="Times New Roman" w:cs="Times New Roman"/>
            <w:color w:val="007456"/>
            <w:sz w:val="24"/>
            <w:szCs w:val="24"/>
            <w:u w:val="single"/>
            <w:lang w:val="en-GB" w:eastAsia="hu-HU"/>
          </w:rPr>
          <w:t>https://elearning.med.unideb.hu/course/view.php?id=133</w:t>
        </w:r>
      </w:hyperlink>
    </w:p>
    <w:p w:rsidR="00E23020" w:rsidRPr="00E23020" w:rsidRDefault="00E23020" w:rsidP="00E23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(</w:t>
      </w:r>
      <w:proofErr w:type="gramStart"/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for</w:t>
      </w:r>
      <w:proofErr w:type="gramEnd"/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 xml:space="preserve"> downloading, syllabus, etc.)</w:t>
      </w:r>
    </w:p>
    <w:p w:rsidR="00E23020" w:rsidRPr="00E23020" w:rsidRDefault="00E23020" w:rsidP="00E230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hyperlink r:id="rId6" w:history="1">
        <w:r w:rsidRPr="00E23020">
          <w:rPr>
            <w:rFonts w:ascii="Times New Roman" w:eastAsia="Times New Roman" w:hAnsi="Times New Roman" w:cs="Times New Roman"/>
            <w:color w:val="007456"/>
            <w:sz w:val="24"/>
            <w:szCs w:val="24"/>
            <w:u w:val="single"/>
            <w:lang w:eastAsia="hu-HU"/>
          </w:rPr>
          <w:t>www.quizlet.com</w:t>
        </w:r>
      </w:hyperlink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> </w:t>
      </w:r>
      <w:r w:rsidRPr="00E23020">
        <w:rPr>
          <w:rFonts w:ascii="Times New Roman" w:eastAsia="Times New Roman" w:hAnsi="Times New Roman" w:cs="Times New Roman"/>
          <w:color w:val="1D2125"/>
          <w:sz w:val="24"/>
          <w:szCs w:val="24"/>
          <w:lang w:val="en-GB" w:eastAsia="hu-HU"/>
        </w:rPr>
        <w:t>(for interactive exercises, study tools)</w:t>
      </w:r>
    </w:p>
    <w:sectPr w:rsidR="00E23020" w:rsidRPr="00E23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6711E"/>
    <w:multiLevelType w:val="hybridMultilevel"/>
    <w:tmpl w:val="A2B8E1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20"/>
    <w:rsid w:val="00586CE5"/>
    <w:rsid w:val="00626863"/>
    <w:rsid w:val="00A52050"/>
    <w:rsid w:val="00E23020"/>
    <w:rsid w:val="00F3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325D8-C17E-4D27-9E49-30743879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23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23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E23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302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2302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302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2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23020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E23020"/>
    <w:rPr>
      <w:b/>
      <w:bCs/>
    </w:rPr>
  </w:style>
  <w:style w:type="table" w:styleId="Rcsostblzat">
    <w:name w:val="Table Grid"/>
    <w:basedOn w:val="Normltblzat"/>
    <w:uiPriority w:val="39"/>
    <w:rsid w:val="00E2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3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izlet.com/" TargetMode="External"/><Relationship Id="rId5" Type="http://schemas.openxmlformats.org/officeDocument/2006/relationships/hyperlink" Target="https://elearning.med.unideb.hu/course/view.php?id=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2025-04-09T08:13:00Z</dcterms:created>
  <dcterms:modified xsi:type="dcterms:W3CDTF">2025-04-09T08:30:00Z</dcterms:modified>
</cp:coreProperties>
</file>